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57159" w14:textId="77777777" w:rsidR="00E73ABB" w:rsidRPr="000C44F7" w:rsidRDefault="004E476C" w:rsidP="0041037A">
      <w:pPr>
        <w:pStyle w:val="Heading1"/>
        <w:ind w:left="144"/>
      </w:pPr>
      <w:r w:rsidRPr="000C44F7">
        <w:t>Overview</w:t>
      </w:r>
    </w:p>
    <w:p w14:paraId="128654BA" w14:textId="1D1DC949" w:rsidR="003203A0" w:rsidRDefault="003203A0" w:rsidP="0041037A">
      <w:pPr>
        <w:ind w:left="144"/>
      </w:pPr>
      <w:bookmarkStart w:id="0" w:name="_Hlk142647290"/>
      <w:r w:rsidRPr="000C44F7">
        <w:t xml:space="preserve">The Town of Parker </w:t>
      </w:r>
      <w:r w:rsidR="00D65C11">
        <w:t>Cultural</w:t>
      </w:r>
      <w:r w:rsidRPr="000C44F7">
        <w:t xml:space="preserve"> Department</w:t>
      </w:r>
      <w:r>
        <w:t xml:space="preserve"> </w:t>
      </w:r>
      <w:r w:rsidRPr="000C44F7">
        <w:t xml:space="preserve">is committed to providing </w:t>
      </w:r>
      <w:r w:rsidR="00DF1122">
        <w:t>arts and culture enrichment</w:t>
      </w:r>
      <w:r w:rsidRPr="000C44F7">
        <w:t xml:space="preserve"> to </w:t>
      </w:r>
      <w:r w:rsidR="00B43DDB">
        <w:t>our community</w:t>
      </w:r>
      <w:r w:rsidRPr="000C44F7">
        <w:t>. T</w:t>
      </w:r>
      <w:r>
        <w:t xml:space="preserve">he </w:t>
      </w:r>
      <w:r w:rsidR="009B7990">
        <w:t xml:space="preserve">Cultural </w:t>
      </w:r>
      <w:r w:rsidR="00514D24">
        <w:t>Scholarship</w:t>
      </w:r>
      <w:r>
        <w:t xml:space="preserve"> Program</w:t>
      </w:r>
      <w:r w:rsidR="003463C5">
        <w:t xml:space="preserve"> helps</w:t>
      </w:r>
      <w:r w:rsidR="003463C5" w:rsidRPr="003463C5">
        <w:t xml:space="preserve"> families needing financial assistance to participate in the Town’s Cultural programs.</w:t>
      </w:r>
      <w:r>
        <w:t xml:space="preserve"> This program </w:t>
      </w:r>
      <w:r w:rsidRPr="000C44F7">
        <w:t>assist</w:t>
      </w:r>
      <w:r>
        <w:t>s</w:t>
      </w:r>
      <w:r w:rsidRPr="000C44F7">
        <w:t xml:space="preserve"> </w:t>
      </w:r>
      <w:r>
        <w:t xml:space="preserve">individuals with disabilities and those experiencing financial difficulties, </w:t>
      </w:r>
      <w:r w:rsidRPr="000C44F7">
        <w:t>or times of special need.</w:t>
      </w:r>
    </w:p>
    <w:bookmarkEnd w:id="0"/>
    <w:p w14:paraId="4F5EAE16" w14:textId="77777777" w:rsidR="00AC4C6B" w:rsidRPr="000C44F7" w:rsidRDefault="00AC4C6B" w:rsidP="0041037A">
      <w:pPr>
        <w:ind w:left="144"/>
      </w:pPr>
    </w:p>
    <w:p w14:paraId="2A3F7DC8" w14:textId="77777777" w:rsidR="00E73ABB" w:rsidRPr="000C44F7" w:rsidRDefault="004E476C" w:rsidP="0041037A">
      <w:pPr>
        <w:pStyle w:val="Heading1"/>
        <w:ind w:left="144"/>
      </w:pPr>
      <w:r w:rsidRPr="000C44F7">
        <w:t>Guidelines</w:t>
      </w:r>
    </w:p>
    <w:p w14:paraId="55D66887" w14:textId="01546DB8" w:rsidR="00F51349" w:rsidRDefault="005B32BA" w:rsidP="0041037A">
      <w:pPr>
        <w:ind w:left="144"/>
        <w:rPr>
          <w:rStyle w:val="Emphasis"/>
        </w:rPr>
      </w:pPr>
      <w:bookmarkStart w:id="1" w:name="_Hlk142647861"/>
      <w:bookmarkStart w:id="2" w:name="_Hlk142647888"/>
      <w:r w:rsidRPr="005B32BA">
        <w:rPr>
          <w:rStyle w:val="Emphasis"/>
        </w:rPr>
        <w:t xml:space="preserve">Applications are reviewed and scored to determine the degree of need </w:t>
      </w:r>
      <w:r w:rsidRPr="000C57FF">
        <w:rPr>
          <w:rStyle w:val="Emphasis"/>
        </w:rPr>
        <w:t>based on the information provided</w:t>
      </w:r>
      <w:r>
        <w:rPr>
          <w:rStyle w:val="Emphasis"/>
        </w:rPr>
        <w:t xml:space="preserve"> below</w:t>
      </w:r>
      <w:r w:rsidR="009A3CD2">
        <w:rPr>
          <w:rStyle w:val="Emphasis"/>
        </w:rPr>
        <w:t>.</w:t>
      </w:r>
      <w:r w:rsidR="001259B4">
        <w:rPr>
          <w:rStyle w:val="Emphasis"/>
        </w:rPr>
        <w:t xml:space="preserve"> </w:t>
      </w:r>
      <w:r w:rsidR="00F51349" w:rsidRPr="000C57FF">
        <w:rPr>
          <w:rStyle w:val="Emphasis"/>
        </w:rPr>
        <w:t xml:space="preserve">All information is maintained with the strictest confidentiality and is used only for </w:t>
      </w:r>
      <w:r w:rsidR="00F51349">
        <w:rPr>
          <w:rStyle w:val="Emphasis"/>
        </w:rPr>
        <w:t xml:space="preserve">awarding </w:t>
      </w:r>
      <w:r w:rsidR="00514D24">
        <w:rPr>
          <w:rStyle w:val="Emphasis"/>
        </w:rPr>
        <w:t>scholarships</w:t>
      </w:r>
      <w:r w:rsidR="00F51349" w:rsidRPr="000C57FF">
        <w:rPr>
          <w:rStyle w:val="Emphasis"/>
        </w:rPr>
        <w:t xml:space="preserve">. </w:t>
      </w:r>
    </w:p>
    <w:p w14:paraId="2913A736" w14:textId="77777777" w:rsidR="00F51349" w:rsidRDefault="00F51349" w:rsidP="0041037A">
      <w:pPr>
        <w:ind w:left="144"/>
        <w:rPr>
          <w:rStyle w:val="Emphasis"/>
        </w:rPr>
      </w:pPr>
    </w:p>
    <w:p w14:paraId="352D0301" w14:textId="1D74E8CC" w:rsidR="000C57FF" w:rsidRPr="000C57FF" w:rsidRDefault="001259B4" w:rsidP="0041037A">
      <w:pPr>
        <w:ind w:left="144"/>
        <w:rPr>
          <w:rStyle w:val="Emphasis"/>
        </w:rPr>
      </w:pPr>
      <w:r>
        <w:rPr>
          <w:rStyle w:val="Emphasis"/>
        </w:rPr>
        <w:t>The Town does not discriminate against any person otherwise qualified because of race, creed, sex, color, national origin or ancestry, religion, disability, age, sexual orientation, gender identity, veteran status, or any other basis prohibited by federal, state, or local law.</w:t>
      </w:r>
      <w:r w:rsidR="000C57FF" w:rsidRPr="000C57FF">
        <w:rPr>
          <w:rStyle w:val="Emphasis"/>
        </w:rPr>
        <w:t xml:space="preserve"> </w:t>
      </w:r>
      <w:bookmarkEnd w:id="1"/>
    </w:p>
    <w:p w14:paraId="555C1682" w14:textId="77777777" w:rsidR="000C57FF" w:rsidRPr="000C44F7" w:rsidRDefault="000C57FF" w:rsidP="0041037A">
      <w:pPr>
        <w:ind w:left="144"/>
      </w:pPr>
    </w:p>
    <w:p w14:paraId="2D06C66D" w14:textId="77777777" w:rsidR="005B32BA" w:rsidRPr="005B32BA" w:rsidRDefault="004E476C" w:rsidP="0041037A">
      <w:pPr>
        <w:pStyle w:val="Heading2"/>
        <w:ind w:left="144"/>
      </w:pPr>
      <w:r w:rsidRPr="005B32BA">
        <w:t xml:space="preserve">Establishing need: </w:t>
      </w:r>
    </w:p>
    <w:p w14:paraId="6BD4B042" w14:textId="6DCE77D8" w:rsidR="006B7EC3" w:rsidRDefault="000C57FF" w:rsidP="0041037A">
      <w:pPr>
        <w:ind w:left="144"/>
      </w:pPr>
      <w:r>
        <w:t xml:space="preserve">The amount of </w:t>
      </w:r>
      <w:r w:rsidR="00514D24">
        <w:t xml:space="preserve">the </w:t>
      </w:r>
      <w:r w:rsidR="009B7990">
        <w:t xml:space="preserve">cultural </w:t>
      </w:r>
      <w:r w:rsidR="00514D24">
        <w:t>scholarship</w:t>
      </w:r>
      <w:r w:rsidRPr="000C44F7">
        <w:t xml:space="preserve"> awarded </w:t>
      </w:r>
      <w:r>
        <w:t xml:space="preserve">is </w:t>
      </w:r>
      <w:r w:rsidRPr="000C44F7">
        <w:t xml:space="preserve">based on </w:t>
      </w:r>
      <w:r w:rsidR="00D65C11">
        <w:t xml:space="preserve">all or some of the following: </w:t>
      </w:r>
      <w:r w:rsidRPr="000C44F7">
        <w:t>residency</w:t>
      </w:r>
      <w:r w:rsidR="006B7EC3">
        <w:t>,</w:t>
      </w:r>
      <w:r w:rsidRPr="000C44F7">
        <w:t xml:space="preserve"> </w:t>
      </w:r>
      <w:r>
        <w:t>the demonstration of financial need</w:t>
      </w:r>
      <w:r w:rsidR="005B32BA">
        <w:t>, special circumstances or temporary hardships</w:t>
      </w:r>
      <w:r w:rsidR="006B7EC3">
        <w:t xml:space="preserve"> </w:t>
      </w:r>
      <w:r w:rsidR="009A3CD2">
        <w:t>by the household</w:t>
      </w:r>
      <w:r w:rsidR="006B7EC3">
        <w:t>.</w:t>
      </w:r>
      <w:r>
        <w:t xml:space="preserve"> </w:t>
      </w:r>
    </w:p>
    <w:p w14:paraId="61F01ECB" w14:textId="77777777" w:rsidR="005B32BA" w:rsidRDefault="005B32BA" w:rsidP="0041037A">
      <w:pPr>
        <w:ind w:left="144"/>
      </w:pPr>
    </w:p>
    <w:p w14:paraId="6A41390E" w14:textId="1D69A9E6" w:rsidR="005B32BA" w:rsidRDefault="005B32BA" w:rsidP="0041037A">
      <w:pPr>
        <w:ind w:left="144"/>
      </w:pPr>
      <w:r>
        <w:t xml:space="preserve">Applicants may apply for </w:t>
      </w:r>
      <w:r w:rsidR="00514D24">
        <w:t xml:space="preserve">a </w:t>
      </w:r>
      <w:r w:rsidR="009B7990">
        <w:t xml:space="preserve">cultural </w:t>
      </w:r>
      <w:r w:rsidR="00514D24">
        <w:t>scholarship</w:t>
      </w:r>
      <w:r>
        <w:t xml:space="preserve"> for the following identified needs: </w:t>
      </w:r>
    </w:p>
    <w:p w14:paraId="459769D7" w14:textId="164B8ADC" w:rsidR="005B32BA" w:rsidRDefault="005B32BA" w:rsidP="0041037A">
      <w:pPr>
        <w:pStyle w:val="ListParagraph"/>
        <w:numPr>
          <w:ilvl w:val="0"/>
          <w:numId w:val="10"/>
        </w:numPr>
        <w:ind w:left="648"/>
      </w:pPr>
      <w:r w:rsidRPr="005B32BA">
        <w:rPr>
          <w:i/>
          <w:iCs/>
        </w:rPr>
        <w:t>Income Based:</w:t>
      </w:r>
      <w:r>
        <w:t xml:space="preserve"> The Town uses household income combined with household size to determine the amount of need for </w:t>
      </w:r>
      <w:r w:rsidR="00514D24">
        <w:t xml:space="preserve">the </w:t>
      </w:r>
      <w:r w:rsidR="009B7990">
        <w:t xml:space="preserve">cultural </w:t>
      </w:r>
      <w:r w:rsidR="00514D24">
        <w:t>scholarship</w:t>
      </w:r>
      <w:r>
        <w:t xml:space="preserve">. This scale was developed using established standards found on </w:t>
      </w:r>
      <w:r w:rsidR="00D65C11">
        <w:t>C</w:t>
      </w:r>
      <w:r>
        <w:t>CCAP, Free and Reduced Lunch Program and government assistance applications.</w:t>
      </w:r>
    </w:p>
    <w:p w14:paraId="10810D2C" w14:textId="0E5EE789" w:rsidR="005B32BA" w:rsidRDefault="005B32BA" w:rsidP="0041037A">
      <w:pPr>
        <w:pStyle w:val="ListParagraph"/>
        <w:numPr>
          <w:ilvl w:val="0"/>
          <w:numId w:val="10"/>
        </w:numPr>
        <w:ind w:left="648"/>
      </w:pPr>
      <w:r w:rsidRPr="00344236">
        <w:rPr>
          <w:i/>
          <w:iCs/>
        </w:rPr>
        <w:t xml:space="preserve">Special Circumstances: </w:t>
      </w:r>
      <w:r>
        <w:t>Special circumstances</w:t>
      </w:r>
      <w:r w:rsidRPr="000C57FF">
        <w:t xml:space="preserve"> are </w:t>
      </w:r>
      <w:r>
        <w:t xml:space="preserve">reviewed </w:t>
      </w:r>
      <w:r w:rsidRPr="000C57FF">
        <w:t xml:space="preserve">on a case-by-case basis. Priority will first be given to </w:t>
      </w:r>
      <w:r>
        <w:t>household</w:t>
      </w:r>
      <w:r w:rsidRPr="000C57FF">
        <w:t>s facing more critical and involuntary hardship situations</w:t>
      </w:r>
      <w:r>
        <w:t>.</w:t>
      </w:r>
      <w:r w:rsidR="00344236">
        <w:t xml:space="preserve"> Priority is given to households demonstrating why </w:t>
      </w:r>
      <w:r w:rsidR="00514D24">
        <w:t>the scholarship</w:t>
      </w:r>
      <w:r w:rsidR="00344236">
        <w:t xml:space="preserve"> is needed to support the engagement in pro-social activities.</w:t>
      </w:r>
    </w:p>
    <w:p w14:paraId="19433802" w14:textId="6EE1496B" w:rsidR="005B32BA" w:rsidRDefault="005B32BA" w:rsidP="0041037A">
      <w:pPr>
        <w:pStyle w:val="ListParagraph"/>
        <w:numPr>
          <w:ilvl w:val="0"/>
          <w:numId w:val="10"/>
        </w:numPr>
        <w:ind w:left="648"/>
      </w:pPr>
      <w:r w:rsidRPr="005B32BA">
        <w:rPr>
          <w:i/>
          <w:iCs/>
        </w:rPr>
        <w:t>Temporary Hardships:</w:t>
      </w:r>
      <w:r>
        <w:t xml:space="preserve"> </w:t>
      </w:r>
      <w:r w:rsidRPr="000C57FF">
        <w:t xml:space="preserve">Hardships and special times of need are </w:t>
      </w:r>
      <w:r>
        <w:t xml:space="preserve">reviewed </w:t>
      </w:r>
      <w:r w:rsidRPr="000C57FF">
        <w:t xml:space="preserve">on a case-by-case basis. Priority will first be given to </w:t>
      </w:r>
      <w:r>
        <w:t>household</w:t>
      </w:r>
      <w:r w:rsidRPr="000C57FF">
        <w:t>s facing more critical and involuntary hardship situations</w:t>
      </w:r>
      <w:r>
        <w:t>.</w:t>
      </w:r>
    </w:p>
    <w:p w14:paraId="72904F0B" w14:textId="77777777" w:rsidR="005B32BA" w:rsidRDefault="005B32BA" w:rsidP="0041037A">
      <w:pPr>
        <w:ind w:left="144"/>
      </w:pPr>
    </w:p>
    <w:p w14:paraId="2FCBEE65" w14:textId="77777777" w:rsidR="0041037A" w:rsidRDefault="0041037A" w:rsidP="0041037A">
      <w:pPr>
        <w:widowControl/>
        <w:ind w:left="144"/>
        <w:contextualSpacing/>
        <w:rPr>
          <w:b/>
          <w:bCs/>
        </w:rPr>
      </w:pPr>
    </w:p>
    <w:p w14:paraId="3D855EE6" w14:textId="51527D8B" w:rsidR="0041037A" w:rsidRDefault="0041037A" w:rsidP="0041037A">
      <w:pPr>
        <w:pStyle w:val="Heading2"/>
        <w:ind w:left="144"/>
      </w:pPr>
      <w:r>
        <w:t>Award Amount</w:t>
      </w:r>
      <w:r w:rsidRPr="00344236">
        <w:t>:</w:t>
      </w:r>
      <w:r w:rsidRPr="00501FF1">
        <w:t xml:space="preserve"> </w:t>
      </w:r>
    </w:p>
    <w:bookmarkEnd w:id="2"/>
    <w:p w14:paraId="698DD3FF" w14:textId="2E428307" w:rsidR="000C57FF" w:rsidRDefault="00D65C11" w:rsidP="0041037A">
      <w:pPr>
        <w:widowControl/>
        <w:spacing w:after="160" w:line="259" w:lineRule="auto"/>
        <w:ind w:left="144"/>
        <w:contextualSpacing/>
        <w:rPr>
          <w:rStyle w:val="Emphasis"/>
        </w:rPr>
      </w:pPr>
      <w:r>
        <w:t>A</w:t>
      </w:r>
      <w:r w:rsidR="00937564">
        <w:t>warded applicants</w:t>
      </w:r>
      <w:r>
        <w:t xml:space="preserve"> receive a $200 </w:t>
      </w:r>
      <w:r w:rsidR="009B7990">
        <w:t xml:space="preserve">cultural </w:t>
      </w:r>
      <w:r>
        <w:t xml:space="preserve">scholarship per person, per </w:t>
      </w:r>
      <w:r w:rsidR="00071B51">
        <w:t xml:space="preserve">calendar </w:t>
      </w:r>
      <w:r>
        <w:t>year.</w:t>
      </w:r>
      <w:r w:rsidR="00071B51">
        <w:t xml:space="preserve"> </w:t>
      </w:r>
      <w:r>
        <w:t>The number of scholarships distributed var</w:t>
      </w:r>
      <w:r w:rsidR="00FB48CB">
        <w:t xml:space="preserve">ies each year depending on available funding and the number of requests received. </w:t>
      </w:r>
    </w:p>
    <w:p w14:paraId="08C20DB3" w14:textId="77777777" w:rsidR="00344236" w:rsidRDefault="00344236" w:rsidP="0041037A">
      <w:pPr>
        <w:widowControl/>
        <w:ind w:left="144"/>
        <w:contextualSpacing/>
        <w:rPr>
          <w:b/>
          <w:bCs/>
        </w:rPr>
      </w:pPr>
    </w:p>
    <w:p w14:paraId="354FF4E0" w14:textId="77777777" w:rsidR="00344236" w:rsidRDefault="00344236" w:rsidP="0041037A">
      <w:pPr>
        <w:pStyle w:val="Heading2"/>
        <w:ind w:left="144"/>
      </w:pPr>
      <w:r w:rsidRPr="00344236">
        <w:t>Submission Deadline:</w:t>
      </w:r>
      <w:r w:rsidRPr="00501FF1">
        <w:t xml:space="preserve"> </w:t>
      </w:r>
    </w:p>
    <w:p w14:paraId="06B5CBCA" w14:textId="5C15FF9D" w:rsidR="00FB48CB" w:rsidRDefault="00344236" w:rsidP="0041037A">
      <w:pPr>
        <w:widowControl/>
        <w:ind w:left="144"/>
        <w:contextualSpacing/>
      </w:pPr>
      <w:r w:rsidRPr="00501FF1">
        <w:t xml:space="preserve">All </w:t>
      </w:r>
      <w:r w:rsidR="00514D24">
        <w:t>scholarship</w:t>
      </w:r>
      <w:r w:rsidRPr="00501FF1">
        <w:t xml:space="preserve"> applications must be submitted a minimum of 2 weeks prior to</w:t>
      </w:r>
      <w:r w:rsidRPr="000C44F7">
        <w:t xml:space="preserve"> the </w:t>
      </w:r>
      <w:r>
        <w:t>start</w:t>
      </w:r>
      <w:r w:rsidRPr="000C44F7">
        <w:t xml:space="preserve"> date of </w:t>
      </w:r>
      <w:r>
        <w:t>a requested activity</w:t>
      </w:r>
      <w:r w:rsidRPr="000C44F7">
        <w:t xml:space="preserve">. </w:t>
      </w:r>
      <w:r w:rsidRPr="000B6193">
        <w:t>Exceptions to</w:t>
      </w:r>
      <w:r>
        <w:t xml:space="preserve"> </w:t>
      </w:r>
      <w:r w:rsidRPr="000B6193">
        <w:t>application deadlines</w:t>
      </w:r>
      <w:r>
        <w:t xml:space="preserve"> </w:t>
      </w:r>
      <w:r w:rsidRPr="000B6193">
        <w:t>may be made on a case-by-case basis by the Program Manager.</w:t>
      </w:r>
    </w:p>
    <w:p w14:paraId="32CC64D3" w14:textId="77777777" w:rsidR="00344236" w:rsidRDefault="00344236" w:rsidP="0041037A">
      <w:pPr>
        <w:ind w:left="144"/>
        <w:rPr>
          <w:b/>
          <w:bCs/>
        </w:rPr>
      </w:pPr>
    </w:p>
    <w:p w14:paraId="792C2685" w14:textId="77777777" w:rsidR="00344236" w:rsidRDefault="004E476C" w:rsidP="0041037A">
      <w:pPr>
        <w:pStyle w:val="Heading2"/>
        <w:ind w:left="144"/>
      </w:pPr>
      <w:r w:rsidRPr="00344236">
        <w:t>Registration:</w:t>
      </w:r>
      <w:r w:rsidRPr="000C44F7">
        <w:t xml:space="preserve"> </w:t>
      </w:r>
    </w:p>
    <w:p w14:paraId="5094B578" w14:textId="27AC9170" w:rsidR="00AC4C6B" w:rsidRPr="000C44F7" w:rsidRDefault="004E476C" w:rsidP="0041037A">
      <w:pPr>
        <w:ind w:left="144"/>
      </w:pPr>
      <w:r w:rsidRPr="000C44F7">
        <w:t xml:space="preserve">Registration for the </w:t>
      </w:r>
      <w:r w:rsidR="009A17D9">
        <w:t xml:space="preserve">activity </w:t>
      </w:r>
      <w:r w:rsidRPr="000C44F7">
        <w:t xml:space="preserve">is required.  If spots are not available at the time </w:t>
      </w:r>
      <w:r w:rsidR="006B7EC3">
        <w:t xml:space="preserve">the award amount is determined, the recipient may join a waitlist or choose another offering. </w:t>
      </w:r>
    </w:p>
    <w:p w14:paraId="0B2485C4" w14:textId="77777777" w:rsidR="00E73ABB" w:rsidRPr="000C44F7" w:rsidRDefault="00E73ABB" w:rsidP="0041037A">
      <w:pPr>
        <w:ind w:left="144"/>
      </w:pPr>
    </w:p>
    <w:p w14:paraId="45D8337D" w14:textId="239D166B" w:rsidR="00344236" w:rsidRDefault="004E476C" w:rsidP="0041037A">
      <w:pPr>
        <w:pStyle w:val="Heading2"/>
        <w:ind w:left="144"/>
      </w:pPr>
      <w:r w:rsidRPr="00344236">
        <w:t>Re</w:t>
      </w:r>
      <w:r w:rsidR="00F51349">
        <w:t>cipient’s Financial Responsibility</w:t>
      </w:r>
      <w:r w:rsidRPr="00344236">
        <w:t>:</w:t>
      </w:r>
      <w:r w:rsidRPr="000C44F7">
        <w:t xml:space="preserve"> </w:t>
      </w:r>
    </w:p>
    <w:p w14:paraId="24535845" w14:textId="07AA0E61" w:rsidR="00F51349" w:rsidRDefault="006B7EC3" w:rsidP="0041037A">
      <w:pPr>
        <w:ind w:left="144"/>
      </w:pPr>
      <w:r>
        <w:t>R</w:t>
      </w:r>
      <w:r w:rsidR="004E476C" w:rsidRPr="000C44F7">
        <w:t>ecipients</w:t>
      </w:r>
      <w:r w:rsidR="009B7990">
        <w:t xml:space="preserve"> are </w:t>
      </w:r>
      <w:r w:rsidR="004E476C" w:rsidRPr="000C44F7">
        <w:t xml:space="preserve">responsible for </w:t>
      </w:r>
      <w:r>
        <w:t xml:space="preserve">paying </w:t>
      </w:r>
      <w:r w:rsidR="009B7990">
        <w:t>40%</w:t>
      </w:r>
      <w:r w:rsidR="004E476C" w:rsidRPr="000C44F7">
        <w:t xml:space="preserve"> of the </w:t>
      </w:r>
      <w:r w:rsidR="003463C5">
        <w:t>activity</w:t>
      </w:r>
      <w:r>
        <w:t xml:space="preserve"> </w:t>
      </w:r>
      <w:r w:rsidR="004E476C" w:rsidRPr="000C44F7">
        <w:t>fee</w:t>
      </w:r>
      <w:r w:rsidR="001F2838">
        <w:t xml:space="preserve">. This payment must be received </w:t>
      </w:r>
      <w:r w:rsidR="004E476C" w:rsidRPr="000C44F7">
        <w:t xml:space="preserve">before the </w:t>
      </w:r>
      <w:r w:rsidR="003B5BB6">
        <w:t>start</w:t>
      </w:r>
      <w:r w:rsidR="004E476C" w:rsidRPr="000C44F7">
        <w:t xml:space="preserve"> of the </w:t>
      </w:r>
      <w:r w:rsidR="003463C5">
        <w:t>activity</w:t>
      </w:r>
      <w:r w:rsidR="004E476C" w:rsidRPr="000C44F7">
        <w:t>.</w:t>
      </w:r>
    </w:p>
    <w:p w14:paraId="71F7AA8A" w14:textId="77777777" w:rsidR="00F51349" w:rsidRDefault="00F51349" w:rsidP="0041037A">
      <w:pPr>
        <w:ind w:left="144"/>
      </w:pPr>
    </w:p>
    <w:p w14:paraId="6DDA0C46" w14:textId="4B10CB25" w:rsidR="00E73ABB" w:rsidRPr="000C44F7" w:rsidRDefault="003B5BB6" w:rsidP="0041037A">
      <w:pPr>
        <w:ind w:left="144"/>
      </w:pPr>
      <w:r>
        <w:t>Costs that are in a</w:t>
      </w:r>
      <w:r w:rsidR="004E476C" w:rsidRPr="000C44F7">
        <w:t>ddition</w:t>
      </w:r>
      <w:r>
        <w:t xml:space="preserve"> to </w:t>
      </w:r>
      <w:r w:rsidR="004E476C" w:rsidRPr="000C44F7">
        <w:t xml:space="preserve">the </w:t>
      </w:r>
      <w:r w:rsidR="006B7EC3">
        <w:t xml:space="preserve">original </w:t>
      </w:r>
      <w:r w:rsidR="004E476C" w:rsidRPr="000C44F7">
        <w:t>registration fee</w:t>
      </w:r>
      <w:r w:rsidR="006B7EC3">
        <w:t xml:space="preserve"> (i.e.</w:t>
      </w:r>
      <w:r w:rsidR="004E476C" w:rsidRPr="000C44F7">
        <w:t xml:space="preserve"> supplies</w:t>
      </w:r>
      <w:r w:rsidR="006B7EC3">
        <w:t>)</w:t>
      </w:r>
      <w:r w:rsidR="004E476C" w:rsidRPr="000C44F7">
        <w:t xml:space="preserve"> are not covered by the </w:t>
      </w:r>
      <w:r w:rsidR="00514D24">
        <w:t>Scholarship</w:t>
      </w:r>
      <w:r w:rsidR="004E476C" w:rsidRPr="000C44F7">
        <w:t xml:space="preserve"> </w:t>
      </w:r>
      <w:r w:rsidR="00514D24">
        <w:t>P</w:t>
      </w:r>
      <w:r w:rsidR="004E476C" w:rsidRPr="000C44F7">
        <w:t>rogram</w:t>
      </w:r>
      <w:r w:rsidR="006B7EC3">
        <w:t xml:space="preserve">; these </w:t>
      </w:r>
      <w:r w:rsidR="004E476C" w:rsidRPr="000C44F7">
        <w:t>are the responsibility of the</w:t>
      </w:r>
      <w:r w:rsidR="006B7EC3">
        <w:t xml:space="preserve"> </w:t>
      </w:r>
      <w:r w:rsidR="004E476C" w:rsidRPr="000C44F7">
        <w:t>recipient.</w:t>
      </w:r>
    </w:p>
    <w:p w14:paraId="206E0193" w14:textId="77777777" w:rsidR="00F51349" w:rsidRDefault="00F51349" w:rsidP="0041037A">
      <w:pPr>
        <w:ind w:left="144"/>
      </w:pPr>
    </w:p>
    <w:p w14:paraId="42045B65" w14:textId="77777777" w:rsidR="00344236" w:rsidRDefault="004E476C" w:rsidP="0041037A">
      <w:pPr>
        <w:pStyle w:val="Heading2"/>
        <w:ind w:left="144"/>
      </w:pPr>
      <w:r w:rsidRPr="00344236">
        <w:t>Cancel</w:t>
      </w:r>
      <w:r w:rsidR="009A3CD2" w:rsidRPr="00344236">
        <w:t>l</w:t>
      </w:r>
      <w:r w:rsidRPr="00344236">
        <w:t>ations:</w:t>
      </w:r>
      <w:r w:rsidRPr="000C44F7">
        <w:t xml:space="preserve"> </w:t>
      </w:r>
      <w:bookmarkStart w:id="3" w:name="_Hlk144131130"/>
    </w:p>
    <w:p w14:paraId="3F850392" w14:textId="05E23000" w:rsidR="00F51349" w:rsidRDefault="0041037A" w:rsidP="0041037A">
      <w:pPr>
        <w:pStyle w:val="ListParagraph"/>
        <w:numPr>
          <w:ilvl w:val="0"/>
          <w:numId w:val="13"/>
        </w:numPr>
        <w:ind w:left="648"/>
      </w:pPr>
      <w:r w:rsidRPr="000C44F7">
        <w:t xml:space="preserve">If </w:t>
      </w:r>
      <w:r>
        <w:t xml:space="preserve">recipient is unable to attend the registered activity, it is the recipient’s responsibility to notify Parker Arts </w:t>
      </w:r>
      <w:r>
        <w:lastRenderedPageBreak/>
        <w:t>Education to cancel in a timeframe consistent with the Department’s cancellation/refund policies.</w:t>
      </w:r>
      <w:r w:rsidR="007666E7" w:rsidRPr="000C44F7">
        <w:t xml:space="preserve"> </w:t>
      </w:r>
    </w:p>
    <w:p w14:paraId="1E1A0FE0" w14:textId="5A981F01" w:rsidR="00E73ABB" w:rsidRPr="009A3CD2" w:rsidRDefault="007666E7" w:rsidP="0041037A">
      <w:pPr>
        <w:pStyle w:val="ListParagraph"/>
        <w:numPr>
          <w:ilvl w:val="0"/>
          <w:numId w:val="13"/>
        </w:numPr>
        <w:ind w:left="648"/>
      </w:pPr>
      <w:r w:rsidRPr="000C44F7">
        <w:t>If the</w:t>
      </w:r>
      <w:r w:rsidR="006B7EC3">
        <w:t xml:space="preserve"> </w:t>
      </w:r>
      <w:r w:rsidR="00F51349">
        <w:t>request</w:t>
      </w:r>
      <w:r w:rsidR="006B7EC3">
        <w:t xml:space="preserve"> is received within the required</w:t>
      </w:r>
      <w:r w:rsidRPr="000C44F7">
        <w:t xml:space="preserve"> timeframe, the </w:t>
      </w:r>
      <w:r w:rsidR="009B7990">
        <w:t xml:space="preserve">cultural </w:t>
      </w:r>
      <w:r w:rsidR="00514D24">
        <w:t>scholarship</w:t>
      </w:r>
      <w:r w:rsidRPr="009A3CD2">
        <w:t xml:space="preserve"> will be </w:t>
      </w:r>
      <w:r w:rsidR="006B7EC3" w:rsidRPr="009A3CD2">
        <w:t xml:space="preserve">placed on the </w:t>
      </w:r>
      <w:r w:rsidRPr="009A3CD2">
        <w:t>participant</w:t>
      </w:r>
      <w:r w:rsidR="006B7EC3" w:rsidRPr="009A3CD2">
        <w:t>’s account to be used toward</w:t>
      </w:r>
      <w:r w:rsidRPr="009A3CD2">
        <w:t xml:space="preserve"> another </w:t>
      </w:r>
      <w:r w:rsidR="003463C5">
        <w:t>cultural activity</w:t>
      </w:r>
      <w:r w:rsidR="006B7EC3" w:rsidRPr="009A3CD2">
        <w:t>.</w:t>
      </w:r>
    </w:p>
    <w:p w14:paraId="18DB9EB2" w14:textId="5BC663BD" w:rsidR="009A3CD2" w:rsidRPr="00344236" w:rsidRDefault="004E476C" w:rsidP="0041037A">
      <w:pPr>
        <w:pStyle w:val="ListParagraph"/>
        <w:numPr>
          <w:ilvl w:val="0"/>
          <w:numId w:val="12"/>
        </w:numPr>
        <w:ind w:left="648"/>
      </w:pPr>
      <w:r w:rsidRPr="00344236">
        <w:t xml:space="preserve">If a </w:t>
      </w:r>
      <w:r w:rsidR="009B7990">
        <w:t xml:space="preserve">cultural </w:t>
      </w:r>
      <w:r w:rsidR="00514D24">
        <w:t>scholarship</w:t>
      </w:r>
      <w:r w:rsidRPr="00344236">
        <w:t xml:space="preserve"> recipient fails to notify the</w:t>
      </w:r>
      <w:r w:rsidR="009B7990">
        <w:t xml:space="preserve"> Cultural</w:t>
      </w:r>
      <w:r w:rsidRPr="00344236">
        <w:t xml:space="preserve"> </w:t>
      </w:r>
      <w:r w:rsidR="001F2838" w:rsidRPr="00344236">
        <w:t>Department</w:t>
      </w:r>
      <w:r w:rsidRPr="00344236">
        <w:t xml:space="preserve"> of </w:t>
      </w:r>
      <w:r w:rsidR="001F2838" w:rsidRPr="00344236">
        <w:t>a</w:t>
      </w:r>
      <w:r w:rsidRPr="00344236">
        <w:t xml:space="preserve"> cance</w:t>
      </w:r>
      <w:r w:rsidR="001F2838" w:rsidRPr="00344236">
        <w:t>l</w:t>
      </w:r>
      <w:r w:rsidRPr="00344236">
        <w:t>lation</w:t>
      </w:r>
      <w:r w:rsidR="007666E7" w:rsidRPr="00344236">
        <w:t xml:space="preserve"> within the timeframe specified </w:t>
      </w:r>
      <w:r w:rsidR="009A3CD2" w:rsidRPr="00344236">
        <w:t>in the refund</w:t>
      </w:r>
      <w:r w:rsidR="007666E7" w:rsidRPr="00344236">
        <w:t xml:space="preserve"> polic</w:t>
      </w:r>
      <w:r w:rsidR="009A3CD2" w:rsidRPr="00344236">
        <w:t>y</w:t>
      </w:r>
      <w:r w:rsidRPr="00344236">
        <w:t xml:space="preserve">, the recipient </w:t>
      </w:r>
      <w:r w:rsidR="007666E7" w:rsidRPr="00344236">
        <w:t xml:space="preserve">will forfeit the </w:t>
      </w:r>
      <w:r w:rsidR="009A3CD2" w:rsidRPr="00344236">
        <w:t>award amount in full</w:t>
      </w:r>
      <w:r w:rsidR="007666E7" w:rsidRPr="00344236">
        <w:t>.</w:t>
      </w:r>
      <w:r w:rsidR="009A3CD2" w:rsidRPr="00344236">
        <w:t xml:space="preserve"> </w:t>
      </w:r>
    </w:p>
    <w:p w14:paraId="27E1CA93" w14:textId="1EF3747C" w:rsidR="009A17D9" w:rsidRPr="00344236" w:rsidRDefault="009A17D9" w:rsidP="0041037A">
      <w:pPr>
        <w:pStyle w:val="ListParagraph"/>
        <w:numPr>
          <w:ilvl w:val="0"/>
          <w:numId w:val="12"/>
        </w:numPr>
        <w:ind w:left="648"/>
      </w:pPr>
      <w:r w:rsidRPr="00344236">
        <w:t xml:space="preserve">If a </w:t>
      </w:r>
      <w:r w:rsidR="009B7990">
        <w:t xml:space="preserve">cultural </w:t>
      </w:r>
      <w:r w:rsidR="00514D24">
        <w:t>scholarship</w:t>
      </w:r>
      <w:r w:rsidRPr="00344236">
        <w:t xml:space="preserve"> recipient fails to use </w:t>
      </w:r>
      <w:r w:rsidR="003463C5">
        <w:t xml:space="preserve">funds </w:t>
      </w:r>
      <w:r w:rsidRPr="00344236">
        <w:t>awarded, the recipient will forfeit the award amount in full.</w:t>
      </w:r>
    </w:p>
    <w:p w14:paraId="0959078C" w14:textId="1F2BB351" w:rsidR="009A17D9" w:rsidRPr="00344236" w:rsidRDefault="009A17D9" w:rsidP="0041037A">
      <w:pPr>
        <w:pStyle w:val="ListParagraph"/>
        <w:numPr>
          <w:ilvl w:val="0"/>
          <w:numId w:val="12"/>
        </w:numPr>
        <w:ind w:left="648"/>
      </w:pPr>
      <w:r w:rsidRPr="00344236">
        <w:t xml:space="preserve">Failure to use awarded funds may result in disqualification for future </w:t>
      </w:r>
      <w:r w:rsidR="009B7990">
        <w:t xml:space="preserve">cultural </w:t>
      </w:r>
      <w:r w:rsidR="00514D24">
        <w:t>scholarships</w:t>
      </w:r>
      <w:r w:rsidRPr="00344236">
        <w:t>.</w:t>
      </w:r>
    </w:p>
    <w:p w14:paraId="33D8A865" w14:textId="74DA05F5" w:rsidR="000304EA" w:rsidRPr="009070AE" w:rsidRDefault="006B7EC3" w:rsidP="0041037A">
      <w:pPr>
        <w:pStyle w:val="ListParagraph"/>
        <w:numPr>
          <w:ilvl w:val="0"/>
          <w:numId w:val="12"/>
        </w:numPr>
        <w:ind w:left="648"/>
      </w:pPr>
      <w:r w:rsidRPr="00344236">
        <w:t>Financial awards</w:t>
      </w:r>
      <w:r w:rsidRPr="009A3CD2">
        <w:rPr>
          <w:rStyle w:val="Emphasis"/>
        </w:rPr>
        <w:t xml:space="preserve"> are transferable</w:t>
      </w:r>
      <w:r w:rsidR="009A3CD2" w:rsidRPr="009A3CD2">
        <w:rPr>
          <w:rStyle w:val="Emphasis"/>
        </w:rPr>
        <w:t xml:space="preserve"> within the household</w:t>
      </w:r>
      <w:r w:rsidRPr="009A3CD2">
        <w:rPr>
          <w:rStyle w:val="Emphasis"/>
        </w:rPr>
        <w:t>.</w:t>
      </w:r>
      <w:bookmarkEnd w:id="3"/>
    </w:p>
    <w:sectPr w:rsidR="000304EA" w:rsidRPr="009070AE" w:rsidSect="00AC4C6B">
      <w:headerReference w:type="default" r:id="rId7"/>
      <w:type w:val="continuous"/>
      <w:pgSz w:w="12240" w:h="15840"/>
      <w:pgMar w:top="82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36BAA" w14:textId="77777777" w:rsidR="003A4DD5" w:rsidRDefault="003A4DD5" w:rsidP="00D76F75">
      <w:r>
        <w:separator/>
      </w:r>
    </w:p>
  </w:endnote>
  <w:endnote w:type="continuationSeparator" w:id="0">
    <w:p w14:paraId="15219B68" w14:textId="77777777" w:rsidR="003A4DD5" w:rsidRDefault="003A4DD5" w:rsidP="00D7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09629" w14:textId="77777777" w:rsidR="003A4DD5" w:rsidRDefault="003A4DD5" w:rsidP="00D76F75">
      <w:r>
        <w:separator/>
      </w:r>
    </w:p>
  </w:footnote>
  <w:footnote w:type="continuationSeparator" w:id="0">
    <w:p w14:paraId="0189B3EE" w14:textId="77777777" w:rsidR="003A4DD5" w:rsidRDefault="003A4DD5" w:rsidP="00D7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4B5B8" w14:textId="56239E30" w:rsidR="00EF43F2" w:rsidRDefault="00EF43F2" w:rsidP="00EF43F2">
    <w:pPr>
      <w:pStyle w:val="Header"/>
      <w:rPr>
        <w:color w:val="0070C0"/>
        <w:sz w:val="24"/>
      </w:rPr>
    </w:pPr>
    <w:bookmarkStart w:id="4" w:name="_Hlk142647180"/>
    <w:r w:rsidRPr="00EF43F2">
      <w:rPr>
        <w:noProof/>
      </w:rPr>
      <w:drawing>
        <wp:anchor distT="0" distB="0" distL="114300" distR="114300" simplePos="0" relativeHeight="251659264" behindDoc="0" locked="0" layoutInCell="1" allowOverlap="1" wp14:anchorId="5660FF7F" wp14:editId="349A2F85">
          <wp:simplePos x="0" y="0"/>
          <wp:positionH relativeFrom="column">
            <wp:posOffset>120650</wp:posOffset>
          </wp:positionH>
          <wp:positionV relativeFrom="paragraph">
            <wp:posOffset>-34511</wp:posOffset>
          </wp:positionV>
          <wp:extent cx="1631058" cy="263073"/>
          <wp:effectExtent l="0" t="0" r="0" b="3810"/>
          <wp:wrapNone/>
          <wp:docPr id="2143392626" name="Picture 2143392626" descr="Parker Arts Logo. All capital letters in blue. Parker Arts is the Town of Parker Cultural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92626" name="Picture 2143392626" descr="Parker Arts Logo. All capital letters in blue. Parker Arts is the Town of Parker Cultural Department."/>
                  <pic:cNvPicPr/>
                </pic:nvPicPr>
                <pic:blipFill>
                  <a:blip r:embed="rId1">
                    <a:extLst>
                      <a:ext uri="{28A0092B-C50C-407E-A947-70E740481C1C}">
                        <a14:useLocalDpi xmlns:a14="http://schemas.microsoft.com/office/drawing/2010/main" val="0"/>
                      </a:ext>
                    </a:extLst>
                  </a:blip>
                  <a:stretch>
                    <a:fillRect/>
                  </a:stretch>
                </pic:blipFill>
                <pic:spPr>
                  <a:xfrm>
                    <a:off x="0" y="0"/>
                    <a:ext cx="1631058" cy="263073"/>
                  </a:xfrm>
                  <a:prstGeom prst="rect">
                    <a:avLst/>
                  </a:prstGeom>
                </pic:spPr>
              </pic:pic>
            </a:graphicData>
          </a:graphic>
          <wp14:sizeRelH relativeFrom="page">
            <wp14:pctWidth>0</wp14:pctWidth>
          </wp14:sizeRelH>
          <wp14:sizeRelV relativeFrom="page">
            <wp14:pctHeight>0</wp14:pctHeight>
          </wp14:sizeRelV>
        </wp:anchor>
      </w:drawing>
    </w:r>
    <w:r w:rsidR="0006174E">
      <w:t xml:space="preserve">Cultural </w:t>
    </w:r>
    <w:r w:rsidR="00514D24">
      <w:t>Scholarship</w:t>
    </w:r>
    <w:r w:rsidR="00FB48CB" w:rsidRPr="00EF43F2">
      <w:t xml:space="preserve"> Program</w:t>
    </w:r>
    <w:r w:rsidR="00FB48CB">
      <w:rPr>
        <w:color w:val="0070C0"/>
        <w:sz w:val="24"/>
      </w:rPr>
      <w:t xml:space="preserve"> </w:t>
    </w:r>
    <w:bookmarkEnd w:id="4"/>
  </w:p>
  <w:p w14:paraId="4EA97E14" w14:textId="4FB5201D" w:rsidR="00D76F75" w:rsidRDefault="0006174E" w:rsidP="00EF43F2">
    <w:pPr>
      <w:pStyle w:val="NoSpacing"/>
    </w:pPr>
    <w:r>
      <w:t>Cultural Enrichment Scholarship Guidelines</w:t>
    </w:r>
  </w:p>
  <w:p w14:paraId="3A961F42" w14:textId="77777777" w:rsidR="00EF43F2" w:rsidRDefault="00EF43F2" w:rsidP="00EF43F2">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7FA9"/>
    <w:multiLevelType w:val="hybridMultilevel"/>
    <w:tmpl w:val="7ED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94DC3"/>
    <w:multiLevelType w:val="hybridMultilevel"/>
    <w:tmpl w:val="E44CC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C710E"/>
    <w:multiLevelType w:val="hybridMultilevel"/>
    <w:tmpl w:val="F3F21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8C5504"/>
    <w:multiLevelType w:val="hybridMultilevel"/>
    <w:tmpl w:val="5F8E67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870DB6"/>
    <w:multiLevelType w:val="hybridMultilevel"/>
    <w:tmpl w:val="67F45DF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B3F561D"/>
    <w:multiLevelType w:val="hybridMultilevel"/>
    <w:tmpl w:val="DB20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26684"/>
    <w:multiLevelType w:val="hybridMultilevel"/>
    <w:tmpl w:val="214C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57B23"/>
    <w:multiLevelType w:val="hybridMultilevel"/>
    <w:tmpl w:val="BAA611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65537C"/>
    <w:multiLevelType w:val="hybridMultilevel"/>
    <w:tmpl w:val="E8E890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71F3584"/>
    <w:multiLevelType w:val="hybridMultilevel"/>
    <w:tmpl w:val="B4746740"/>
    <w:lvl w:ilvl="0" w:tplc="6B564F44">
      <w:start w:val="1"/>
      <w:numFmt w:val="decimal"/>
      <w:lvlText w:val="%1."/>
      <w:lvlJc w:val="left"/>
      <w:pPr>
        <w:ind w:hanging="361"/>
        <w:jc w:val="right"/>
      </w:pPr>
      <w:rPr>
        <w:rFonts w:ascii="Times New Roman" w:eastAsia="Times New Roman" w:hAnsi="Times New Roman" w:hint="default"/>
        <w:sz w:val="24"/>
        <w:szCs w:val="24"/>
      </w:rPr>
    </w:lvl>
    <w:lvl w:ilvl="1" w:tplc="44EC7566">
      <w:start w:val="1"/>
      <w:numFmt w:val="lowerLetter"/>
      <w:lvlText w:val="%2."/>
      <w:lvlJc w:val="left"/>
      <w:pPr>
        <w:ind w:hanging="360"/>
      </w:pPr>
      <w:rPr>
        <w:rFonts w:ascii="Times New Roman" w:eastAsia="Times New Roman" w:hAnsi="Times New Roman" w:hint="default"/>
        <w:spacing w:val="-1"/>
        <w:sz w:val="24"/>
        <w:szCs w:val="24"/>
      </w:rPr>
    </w:lvl>
    <w:lvl w:ilvl="2" w:tplc="6566531C">
      <w:start w:val="1"/>
      <w:numFmt w:val="bullet"/>
      <w:lvlText w:val="•"/>
      <w:lvlJc w:val="left"/>
      <w:rPr>
        <w:rFonts w:hint="default"/>
      </w:rPr>
    </w:lvl>
    <w:lvl w:ilvl="3" w:tplc="D48E0DCA">
      <w:start w:val="1"/>
      <w:numFmt w:val="bullet"/>
      <w:lvlText w:val="•"/>
      <w:lvlJc w:val="left"/>
      <w:rPr>
        <w:rFonts w:hint="default"/>
      </w:rPr>
    </w:lvl>
    <w:lvl w:ilvl="4" w:tplc="4E2AF4FA">
      <w:start w:val="1"/>
      <w:numFmt w:val="bullet"/>
      <w:lvlText w:val="•"/>
      <w:lvlJc w:val="left"/>
      <w:rPr>
        <w:rFonts w:hint="default"/>
      </w:rPr>
    </w:lvl>
    <w:lvl w:ilvl="5" w:tplc="B87AC296">
      <w:start w:val="1"/>
      <w:numFmt w:val="bullet"/>
      <w:lvlText w:val="•"/>
      <w:lvlJc w:val="left"/>
      <w:rPr>
        <w:rFonts w:hint="default"/>
      </w:rPr>
    </w:lvl>
    <w:lvl w:ilvl="6" w:tplc="A64088BE">
      <w:start w:val="1"/>
      <w:numFmt w:val="bullet"/>
      <w:lvlText w:val="•"/>
      <w:lvlJc w:val="left"/>
      <w:rPr>
        <w:rFonts w:hint="default"/>
      </w:rPr>
    </w:lvl>
    <w:lvl w:ilvl="7" w:tplc="4E9AD7EC">
      <w:start w:val="1"/>
      <w:numFmt w:val="bullet"/>
      <w:lvlText w:val="•"/>
      <w:lvlJc w:val="left"/>
      <w:rPr>
        <w:rFonts w:hint="default"/>
      </w:rPr>
    </w:lvl>
    <w:lvl w:ilvl="8" w:tplc="1D2A2254">
      <w:start w:val="1"/>
      <w:numFmt w:val="bullet"/>
      <w:lvlText w:val="•"/>
      <w:lvlJc w:val="left"/>
      <w:rPr>
        <w:rFonts w:hint="default"/>
      </w:rPr>
    </w:lvl>
  </w:abstractNum>
  <w:abstractNum w:abstractNumId="10" w15:restartNumberingAfterBreak="0">
    <w:nsid w:val="57977F7B"/>
    <w:multiLevelType w:val="hybridMultilevel"/>
    <w:tmpl w:val="99083D74"/>
    <w:lvl w:ilvl="0" w:tplc="43C66AEA">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314AA"/>
    <w:multiLevelType w:val="hybridMultilevel"/>
    <w:tmpl w:val="9AD4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25247B"/>
    <w:multiLevelType w:val="hybridMultilevel"/>
    <w:tmpl w:val="6796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3B49C4"/>
    <w:multiLevelType w:val="hybridMultilevel"/>
    <w:tmpl w:val="3B06D3C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1553091">
    <w:abstractNumId w:val="9"/>
  </w:num>
  <w:num w:numId="2" w16cid:durableId="1298489775">
    <w:abstractNumId w:val="7"/>
  </w:num>
  <w:num w:numId="3" w16cid:durableId="113527854">
    <w:abstractNumId w:val="13"/>
  </w:num>
  <w:num w:numId="4" w16cid:durableId="1467359457">
    <w:abstractNumId w:val="3"/>
  </w:num>
  <w:num w:numId="5" w16cid:durableId="1477796513">
    <w:abstractNumId w:val="11"/>
  </w:num>
  <w:num w:numId="6" w16cid:durableId="667829997">
    <w:abstractNumId w:val="10"/>
  </w:num>
  <w:num w:numId="7" w16cid:durableId="106124579">
    <w:abstractNumId w:val="12"/>
  </w:num>
  <w:num w:numId="8" w16cid:durableId="23021148">
    <w:abstractNumId w:val="2"/>
  </w:num>
  <w:num w:numId="9" w16cid:durableId="1763987713">
    <w:abstractNumId w:val="0"/>
  </w:num>
  <w:num w:numId="10" w16cid:durableId="1070690710">
    <w:abstractNumId w:val="8"/>
  </w:num>
  <w:num w:numId="11" w16cid:durableId="770246342">
    <w:abstractNumId w:val="1"/>
  </w:num>
  <w:num w:numId="12" w16cid:durableId="557981461">
    <w:abstractNumId w:val="5"/>
  </w:num>
  <w:num w:numId="13" w16cid:durableId="2000040107">
    <w:abstractNumId w:val="6"/>
  </w:num>
  <w:num w:numId="14" w16cid:durableId="432019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BB"/>
    <w:rsid w:val="000304EA"/>
    <w:rsid w:val="00036846"/>
    <w:rsid w:val="0006174E"/>
    <w:rsid w:val="00071B51"/>
    <w:rsid w:val="000C44F7"/>
    <w:rsid w:val="000C57FF"/>
    <w:rsid w:val="000C5860"/>
    <w:rsid w:val="000F69B7"/>
    <w:rsid w:val="001141C3"/>
    <w:rsid w:val="001259B4"/>
    <w:rsid w:val="001F2838"/>
    <w:rsid w:val="00262DDF"/>
    <w:rsid w:val="0027749A"/>
    <w:rsid w:val="00302E07"/>
    <w:rsid w:val="003203A0"/>
    <w:rsid w:val="00344236"/>
    <w:rsid w:val="003463C5"/>
    <w:rsid w:val="003A4DD5"/>
    <w:rsid w:val="003B5BB6"/>
    <w:rsid w:val="003E0A41"/>
    <w:rsid w:val="0041037A"/>
    <w:rsid w:val="00433471"/>
    <w:rsid w:val="00463172"/>
    <w:rsid w:val="00494595"/>
    <w:rsid w:val="004E476C"/>
    <w:rsid w:val="00501FF1"/>
    <w:rsid w:val="00514D24"/>
    <w:rsid w:val="0057530A"/>
    <w:rsid w:val="005B32BA"/>
    <w:rsid w:val="005C0F03"/>
    <w:rsid w:val="005F37CC"/>
    <w:rsid w:val="006B7EC3"/>
    <w:rsid w:val="006D1E22"/>
    <w:rsid w:val="006E49E1"/>
    <w:rsid w:val="006F733E"/>
    <w:rsid w:val="00717765"/>
    <w:rsid w:val="00727B6B"/>
    <w:rsid w:val="00762F94"/>
    <w:rsid w:val="007666E7"/>
    <w:rsid w:val="007E1F6E"/>
    <w:rsid w:val="00822BB0"/>
    <w:rsid w:val="0082532C"/>
    <w:rsid w:val="00840B41"/>
    <w:rsid w:val="0086065C"/>
    <w:rsid w:val="00890608"/>
    <w:rsid w:val="009070AE"/>
    <w:rsid w:val="00937564"/>
    <w:rsid w:val="00944079"/>
    <w:rsid w:val="009A17D9"/>
    <w:rsid w:val="009A3CD2"/>
    <w:rsid w:val="009B7990"/>
    <w:rsid w:val="00A520D3"/>
    <w:rsid w:val="00A9410A"/>
    <w:rsid w:val="00AC4C6B"/>
    <w:rsid w:val="00AD0B0B"/>
    <w:rsid w:val="00B02599"/>
    <w:rsid w:val="00B43DDB"/>
    <w:rsid w:val="00B960B4"/>
    <w:rsid w:val="00BB44C3"/>
    <w:rsid w:val="00BC3E59"/>
    <w:rsid w:val="00BE5780"/>
    <w:rsid w:val="00C91356"/>
    <w:rsid w:val="00D15F09"/>
    <w:rsid w:val="00D65C11"/>
    <w:rsid w:val="00D76F75"/>
    <w:rsid w:val="00DC7B18"/>
    <w:rsid w:val="00DF1122"/>
    <w:rsid w:val="00E41E01"/>
    <w:rsid w:val="00E73ABB"/>
    <w:rsid w:val="00ED0863"/>
    <w:rsid w:val="00EF43F2"/>
    <w:rsid w:val="00F030B0"/>
    <w:rsid w:val="00F31CEE"/>
    <w:rsid w:val="00F51349"/>
    <w:rsid w:val="00FB48CB"/>
    <w:rsid w:val="00FC3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C616C"/>
  <w15:docId w15:val="{FEC24383-67EA-401C-AEA8-83C8D9FE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43F2"/>
  </w:style>
  <w:style w:type="paragraph" w:styleId="Heading1">
    <w:name w:val="heading 1"/>
    <w:basedOn w:val="Normal"/>
    <w:uiPriority w:val="1"/>
    <w:qFormat/>
    <w:rsid w:val="00EF43F2"/>
    <w:pPr>
      <w:pBdr>
        <w:top w:val="single" w:sz="18" w:space="1" w:color="1F497D" w:themeColor="text2"/>
        <w:bottom w:val="single" w:sz="18" w:space="1" w:color="1F497D" w:themeColor="text2"/>
      </w:pBdr>
      <w:spacing w:before="120"/>
      <w:outlineLvl w:val="0"/>
    </w:pPr>
    <w:rPr>
      <w:rFonts w:ascii="Calibri" w:eastAsia="Times New Roman" w:hAnsi="Calibri"/>
      <w:b/>
      <w:bCs/>
      <w:sz w:val="24"/>
      <w:szCs w:val="32"/>
    </w:rPr>
  </w:style>
  <w:style w:type="paragraph" w:styleId="Heading2">
    <w:name w:val="heading 2"/>
    <w:basedOn w:val="Normal"/>
    <w:uiPriority w:val="1"/>
    <w:qFormat/>
    <w:rsid w:val="000304EA"/>
    <w:pPr>
      <w:shd w:val="clear" w:color="auto" w:fill="002060"/>
      <w:ind w:left="100"/>
      <w:outlineLvl w:val="1"/>
    </w:pPr>
    <w:rPr>
      <w:rFonts w:ascii="Calibri Light" w:eastAsia="Times New Roman" w:hAnsi="Calibri Light"/>
      <w:bCs/>
      <w:color w:val="FFFFFF" w:themeColor="background1"/>
      <w:sz w:val="24"/>
      <w:szCs w:val="24"/>
    </w:rPr>
  </w:style>
  <w:style w:type="paragraph" w:styleId="Heading3">
    <w:name w:val="heading 3"/>
    <w:basedOn w:val="Normal"/>
    <w:next w:val="Normal"/>
    <w:link w:val="Heading3Char"/>
    <w:uiPriority w:val="9"/>
    <w:unhideWhenUsed/>
    <w:qFormat/>
    <w:rsid w:val="00EF43F2"/>
    <w:pPr>
      <w:keepNext/>
      <w:keepLines/>
      <w:spacing w:before="40"/>
      <w:outlineLvl w:val="2"/>
    </w:pPr>
    <w:rPr>
      <w:rFonts w:ascii="Calibri Light" w:eastAsiaTheme="majorEastAsia" w:hAnsi="Calibri Light" w:cstheme="majorBidi"/>
      <w:b/>
      <w:color w:val="0020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E476C"/>
    <w:rPr>
      <w:color w:val="0000FF" w:themeColor="hyperlink"/>
      <w:u w:val="single"/>
    </w:rPr>
  </w:style>
  <w:style w:type="paragraph" w:styleId="Header">
    <w:name w:val="header"/>
    <w:basedOn w:val="Normal"/>
    <w:link w:val="HeaderChar"/>
    <w:uiPriority w:val="99"/>
    <w:unhideWhenUsed/>
    <w:rsid w:val="000304EA"/>
    <w:pPr>
      <w:widowControl/>
      <w:tabs>
        <w:tab w:val="center" w:pos="4680"/>
      </w:tabs>
      <w:jc w:val="right"/>
    </w:pPr>
    <w:rPr>
      <w:rFonts w:ascii="Calibri Light" w:eastAsia="Calibri" w:hAnsi="Calibri Light" w:cs="Times New Roman"/>
      <w:b/>
      <w:smallCaps/>
      <w:color w:val="002060"/>
      <w:sz w:val="28"/>
      <w:szCs w:val="24"/>
    </w:rPr>
  </w:style>
  <w:style w:type="character" w:customStyle="1" w:styleId="HeaderChar">
    <w:name w:val="Header Char"/>
    <w:basedOn w:val="DefaultParagraphFont"/>
    <w:link w:val="Header"/>
    <w:uiPriority w:val="99"/>
    <w:rsid w:val="000304EA"/>
    <w:rPr>
      <w:rFonts w:ascii="Calibri Light" w:eastAsia="Calibri" w:hAnsi="Calibri Light" w:cs="Times New Roman"/>
      <w:b/>
      <w:smallCaps/>
      <w:color w:val="002060"/>
      <w:sz w:val="28"/>
      <w:szCs w:val="24"/>
    </w:rPr>
  </w:style>
  <w:style w:type="paragraph" w:styleId="NoSpacing">
    <w:name w:val="No Spacing"/>
    <w:aliases w:val="Sub Header"/>
    <w:uiPriority w:val="1"/>
    <w:qFormat/>
    <w:rsid w:val="00EF43F2"/>
    <w:pPr>
      <w:widowControl/>
      <w:jc w:val="right"/>
    </w:pPr>
    <w:rPr>
      <w:rFonts w:ascii="Calibri Light" w:hAnsi="Calibri Light"/>
      <w:smallCaps/>
      <w:color w:val="0070C0"/>
      <w:szCs w:val="24"/>
    </w:rPr>
  </w:style>
  <w:style w:type="paragraph" w:styleId="Footer">
    <w:name w:val="footer"/>
    <w:basedOn w:val="Normal"/>
    <w:link w:val="FooterChar"/>
    <w:uiPriority w:val="99"/>
    <w:unhideWhenUsed/>
    <w:rsid w:val="00D76F75"/>
    <w:pPr>
      <w:tabs>
        <w:tab w:val="center" w:pos="4680"/>
        <w:tab w:val="right" w:pos="9360"/>
      </w:tabs>
    </w:pPr>
  </w:style>
  <w:style w:type="character" w:customStyle="1" w:styleId="FooterChar">
    <w:name w:val="Footer Char"/>
    <w:basedOn w:val="DefaultParagraphFont"/>
    <w:link w:val="Footer"/>
    <w:uiPriority w:val="99"/>
    <w:rsid w:val="00D76F75"/>
  </w:style>
  <w:style w:type="character" w:styleId="CommentReference">
    <w:name w:val="annotation reference"/>
    <w:basedOn w:val="DefaultParagraphFont"/>
    <w:uiPriority w:val="99"/>
    <w:semiHidden/>
    <w:unhideWhenUsed/>
    <w:rsid w:val="00FB48CB"/>
    <w:rPr>
      <w:sz w:val="16"/>
      <w:szCs w:val="16"/>
    </w:rPr>
  </w:style>
  <w:style w:type="paragraph" w:styleId="CommentText">
    <w:name w:val="annotation text"/>
    <w:basedOn w:val="Normal"/>
    <w:link w:val="CommentTextChar"/>
    <w:uiPriority w:val="99"/>
    <w:unhideWhenUsed/>
    <w:rsid w:val="00FB48CB"/>
    <w:pPr>
      <w:widowControl/>
      <w:spacing w:after="160"/>
    </w:pPr>
    <w:rPr>
      <w:sz w:val="20"/>
      <w:szCs w:val="20"/>
    </w:rPr>
  </w:style>
  <w:style w:type="character" w:customStyle="1" w:styleId="CommentTextChar">
    <w:name w:val="Comment Text Char"/>
    <w:basedOn w:val="DefaultParagraphFont"/>
    <w:link w:val="CommentText"/>
    <w:uiPriority w:val="99"/>
    <w:rsid w:val="00FB48CB"/>
    <w:rPr>
      <w:sz w:val="20"/>
      <w:szCs w:val="20"/>
    </w:rPr>
  </w:style>
  <w:style w:type="paragraph" w:customStyle="1" w:styleId="Default">
    <w:name w:val="Default"/>
    <w:rsid w:val="000C57FF"/>
    <w:pPr>
      <w:widowControl/>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0C57FF"/>
    <w:rPr>
      <w:rFonts w:asciiTheme="minorHAnsi" w:hAnsiTheme="minorHAnsi"/>
      <w:b/>
      <w:i/>
      <w:iCs/>
      <w:color w:val="002060"/>
      <w:sz w:val="22"/>
    </w:rPr>
  </w:style>
  <w:style w:type="character" w:styleId="SubtleEmphasis">
    <w:name w:val="Subtle Emphasis"/>
    <w:basedOn w:val="DefaultParagraphFont"/>
    <w:uiPriority w:val="19"/>
    <w:qFormat/>
    <w:rsid w:val="000C57FF"/>
    <w:rPr>
      <w:i/>
      <w:iCs/>
      <w:color w:val="404040" w:themeColor="text1" w:themeTint="BF"/>
    </w:rPr>
  </w:style>
  <w:style w:type="character" w:styleId="PlaceholderText">
    <w:name w:val="Placeholder Text"/>
    <w:basedOn w:val="DefaultParagraphFont"/>
    <w:uiPriority w:val="99"/>
    <w:semiHidden/>
    <w:rsid w:val="00E41E01"/>
    <w:rPr>
      <w:color w:val="808080"/>
    </w:rPr>
  </w:style>
  <w:style w:type="character" w:customStyle="1" w:styleId="Heading3Char">
    <w:name w:val="Heading 3 Char"/>
    <w:basedOn w:val="DefaultParagraphFont"/>
    <w:link w:val="Heading3"/>
    <w:uiPriority w:val="9"/>
    <w:rsid w:val="00EF43F2"/>
    <w:rPr>
      <w:rFonts w:ascii="Calibri Light" w:eastAsiaTheme="majorEastAsia" w:hAnsi="Calibri Light" w:cstheme="majorBidi"/>
      <w:b/>
      <w:color w:val="002060"/>
      <w:szCs w:val="24"/>
    </w:rPr>
  </w:style>
  <w:style w:type="character" w:customStyle="1" w:styleId="UnresolvedMention1">
    <w:name w:val="Unresolved Mention1"/>
    <w:basedOn w:val="DefaultParagraphFont"/>
    <w:uiPriority w:val="99"/>
    <w:semiHidden/>
    <w:unhideWhenUsed/>
    <w:rsid w:val="00840B4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A3CD2"/>
    <w:pPr>
      <w:widowControl w:val="0"/>
      <w:spacing w:after="0"/>
    </w:pPr>
    <w:rPr>
      <w:b/>
      <w:bCs/>
    </w:rPr>
  </w:style>
  <w:style w:type="character" w:customStyle="1" w:styleId="CommentSubjectChar">
    <w:name w:val="Comment Subject Char"/>
    <w:basedOn w:val="CommentTextChar"/>
    <w:link w:val="CommentSubject"/>
    <w:uiPriority w:val="99"/>
    <w:semiHidden/>
    <w:rsid w:val="009A3CD2"/>
    <w:rPr>
      <w:b/>
      <w:bCs/>
      <w:sz w:val="20"/>
      <w:szCs w:val="20"/>
    </w:rPr>
  </w:style>
  <w:style w:type="paragraph" w:styleId="Revision">
    <w:name w:val="Revision"/>
    <w:hidden/>
    <w:uiPriority w:val="99"/>
    <w:semiHidden/>
    <w:rsid w:val="001259B4"/>
    <w:pPr>
      <w:widowControl/>
    </w:pPr>
  </w:style>
  <w:style w:type="paragraph" w:styleId="BalloonText">
    <w:name w:val="Balloon Text"/>
    <w:basedOn w:val="Normal"/>
    <w:link w:val="BalloonTextChar"/>
    <w:uiPriority w:val="99"/>
    <w:semiHidden/>
    <w:unhideWhenUsed/>
    <w:rsid w:val="005F37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7CC"/>
    <w:rPr>
      <w:rFonts w:ascii="Segoe UI" w:hAnsi="Segoe UI" w:cs="Segoe UI"/>
      <w:sz w:val="18"/>
      <w:szCs w:val="18"/>
    </w:rPr>
  </w:style>
  <w:style w:type="character" w:styleId="UnresolvedMention">
    <w:name w:val="Unresolved Mention"/>
    <w:basedOn w:val="DefaultParagraphFont"/>
    <w:uiPriority w:val="99"/>
    <w:semiHidden/>
    <w:unhideWhenUsed/>
    <w:rsid w:val="00F51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of Dublin Parks and Recreation</vt:lpstr>
    </vt:vector>
  </TitlesOfParts>
  <Company>Town of Parker</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Dublin Parks and Recreation</dc:title>
  <dc:creator>Armsbury, Sarah</dc:creator>
  <cp:lastModifiedBy>Fletcher, Kirstin</cp:lastModifiedBy>
  <cp:revision>8</cp:revision>
  <dcterms:created xsi:type="dcterms:W3CDTF">2024-12-02T21:09:00Z</dcterms:created>
  <dcterms:modified xsi:type="dcterms:W3CDTF">2024-12-19T17:14:00Z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2014-10-08T00:00:00Z</vt:filetime>
  </property>
  <property fmtid="{D5CDD505-2E9C-101B-9397-08002B2CF9AE}" pid="3" name="LastSaved">
    <vt:filetime>2018-08-27T00:00:00Z</vt:filetime>
  </property>
</Properties>
</file>